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оценке проекта акта </w:t>
      </w:r>
      <w:r>
        <w:rPr>
          <w:b/>
          <w:sz w:val="28"/>
          <w:szCs w:val="28"/>
        </w:rPr>
        <w:t xml:space="preserve">(экспертизе акта)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Регулирующий орган: </w:t>
      </w:r>
      <w:r>
        <w:rPr>
          <w:sz w:val="28"/>
          <w:szCs w:val="28"/>
        </w:rPr>
        <w:t xml:space="preserve">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pBdr/>
        <w:spacing/>
        <w:ind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Наименование 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Богородского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color w:val="0d0d0d"/>
          <w:sz w:val="28"/>
          <w:szCs w:val="28"/>
        </w:rPr>
        <w:t xml:space="preserve">О внесении изменений в Порядок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предоставления субсидии в целях финансового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 w:val="0"/>
          <w:bCs w:val="0"/>
          <w:color w:val="0d0d0d"/>
          <w:sz w:val="28"/>
          <w:szCs w:val="28"/>
        </w:rPr>
        <w:t xml:space="preserve">, утвержденный постановлением администрации Богородского муниципального округа Ни</w:t>
      </w:r>
      <w:r>
        <w:rPr>
          <w:b w:val="0"/>
          <w:bCs w:val="0"/>
          <w:color w:val="0d0d0d"/>
          <w:sz w:val="28"/>
          <w:szCs w:val="28"/>
        </w:rPr>
        <w:t xml:space="preserve">жегородской области от</w:t>
      </w:r>
      <w:r>
        <w:rPr>
          <w:b w:val="0"/>
          <w:bCs w:val="0"/>
          <w:color w:val="0d0d0d"/>
          <w:sz w:val="28"/>
          <w:szCs w:val="28"/>
        </w:rPr>
        <w:t xml:space="preserve"> </w:t>
      </w:r>
      <w:r>
        <w:rPr>
          <w:b w:val="0"/>
          <w:bCs w:val="0"/>
          <w:color w:val="0d0d0d"/>
          <w:sz w:val="28"/>
          <w:szCs w:val="28"/>
        </w:rPr>
        <w:t xml:space="preserve">28.12.2024 № 6405</w:t>
      </w:r>
      <w:r>
        <w:rPr>
          <w:color w:val="000000"/>
          <w:sz w:val="28"/>
          <w:szCs w:val="28"/>
        </w:rPr>
        <w:t xml:space="preserve">»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существующей проблемы: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Причины вмешательства</w:t>
      </w:r>
      <w:r>
        <w:rPr>
          <w:sz w:val="28"/>
          <w:szCs w:val="28"/>
        </w:rPr>
        <w:t xml:space="preserve"> (На решение какой проблемы направлено рассматриваемое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регулирование?):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Проектом постановления вносятся изменения в Порядок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предоставления субсидии в целях финансового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color w:val="0d0d0d" w:themeColor="text1" w:themeTint="F2"/>
          <w:sz w:val="28"/>
          <w:szCs w:val="28"/>
        </w:rPr>
        <w:t xml:space="preserve"> на территории Богородского муниципального округа Нижегородской области</w:t>
      </w:r>
      <w:r>
        <w:rPr>
          <w:sz w:val="28"/>
          <w:szCs w:val="28"/>
        </w:rPr>
        <w:t xml:space="preserve"> с целью исполнения реализации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 </w:t>
      </w:r>
      <w:r>
        <w:rPr>
          <w:rStyle w:val="930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«Содействие развитию субъектов малого и среднего предпринимательства в Богородском муниципальном округе  Нижегородской области»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lang w:eastAsia="hi-IN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6"/>
        <w:pBdr/>
        <w:spacing/>
        <w:ind w:firstLine="0"/>
        <w:jc w:val="both"/>
        <w:outlineLvl w:val="2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введения акта: </w:t>
      </w:r>
      <w:r>
        <w:rPr>
          <w:rStyle w:val="930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Осно</w:t>
      </w:r>
      <w:r>
        <w:rPr>
          <w:rStyle w:val="930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Данный проект муниципального нормативного правового акта позволяет реализовать возможность предоставления муницип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альной поддержки инфраструктуре поддержки предпринимательства для обеспечения ее деятельности в рамках реализации мероприятия «Обеспечение деятельности инфраструктуры поддержки субъектов малого и среднего предпринимательства»</w:t>
      </w:r>
      <w:r>
        <w:rPr>
          <w:rStyle w:val="930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«Содействие развитию субъектов малого и среднего предпринимательства в Богородском муниципальном округе  Нижегородской области»</w:t>
      </w:r>
      <w:r/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.</w:t>
      </w:r>
      <w:r>
        <w:rPr>
          <w:rStyle w:val="930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Проект постановления в том числе определяет показатель результативности предоставления субсидий</w:t>
      </w:r>
      <w:r>
        <w:rPr>
          <w:rStyle w:val="930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-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Доля уникальных субъектов малого и среднего предпринимательства и самозанятых граждан, зарегистрированных на территории Богородского муниципального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круга, охваченных услугами инфраструктуры поддержки предпринимательства, в общей числе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нности зарегистрированных субъектов малого и среднего предпринимательства и самозанятых граждан на территории округа (по состоянию на 31 декабря отчетного года)</w:t>
      </w:r>
      <w:r>
        <w:rPr>
          <w:rFonts w:ascii="Times New Roman" w:hAnsi="Times New Roman" w:eastAsia="Times New Roman" w:cs="Times New Roman"/>
          <w:color w:val="0d0d0d"/>
          <w:sz w:val="28"/>
          <w:szCs w:val="28"/>
        </w:rPr>
        <w:t xml:space="preserve">»</w:t>
      </w:r>
      <w:r>
        <w:rPr>
          <w:rStyle w:val="930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, который является конкретным, измеримым и соответствует результатам муниципальной программы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«Содействие развитию субъектов малого и среднего предпринимательства в Богородском муниципальном округе Нижегородской области»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, который является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более эффективным, нацеленным на развитие предпринимательской среды Богородского муниципального окру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 и является единственно верным с точки зрения стратегии. Он фокусирует работу инфраструктуры поддержки предпринимательства на реальном расширении аудитории и увеличении доли предпринимателей, которые пользуются государственной и муниципальной поддержкой.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pStyle w:val="926"/>
        <w:pBdr/>
        <w:spacing/>
        <w:ind w:firstLine="0"/>
        <w:jc w:val="both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Риски, связанные с текущей ситуацией: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отсутствуют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Последствия, если никаких действий не будет предпринято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невозможность обеспечить деятельность инфраструктуры поддержки субъектов малого и среднего предпринимательства на территории Богородского муниципального округа Нижегородской области.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инфраструктуру поддержки субъектов малого и среднего предпринимательства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возлагается обязанность соблюдения условий и требований предоставления субсидий, а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 так же принятия получателем субсидии обязательства по достижению результата предоставления субсидии и ежеквартально предоставления соответствующей отчетности.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</w:r>
    </w:p>
    <w:p>
      <w:pPr>
        <w:pStyle w:val="918"/>
        <w:pBdr/>
        <w:spacing/>
        <w:ind w:firstLine="0"/>
        <w:contextualSpacing w:val="true"/>
        <w:jc w:val="both"/>
        <w:rPr>
          <w:rFonts w:cs="Times New Roman"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Социальные группы, экономические сектора или терри</w:t>
      </w:r>
      <w:r>
        <w:rPr>
          <w:b/>
          <w:sz w:val="28"/>
          <w:szCs w:val="28"/>
        </w:rPr>
        <w:t xml:space="preserve">тории, на которые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оказывается воздействие: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юридические лица, являющиеся некоммерчес</w:t>
      </w:r>
      <w:r>
        <w:rPr>
          <w:rFonts w:eastAsia="Times New Roman" w:cs="Times New Roman"/>
          <w:sz w:val="28"/>
          <w:szCs w:val="28"/>
          <w:highlight w:val="white"/>
        </w:rPr>
        <w:t xml:space="preserve">кими организациями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существляющие деятельность на территории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одним из направлений уставной деятельности которых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является предоставление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сфере поддержки предпринимательств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 xml:space="preserve"> сведения о к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 xml:space="preserve">оторых включены 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 xml:space="preserve"> Е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 xml:space="preserve">диный реестр организаций, образующих инфраструктуру поддержки субъектов малого и среднего предпринимательства, ведение которого осуществляет АО «Корпорация «МСП»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none"/>
        </w:rPr>
        <w:t xml:space="preserve">. </w:t>
      </w:r>
      <w:r>
        <w:rPr>
          <w:rFonts w:cs="Times New Roman"/>
          <w:color w:val="000000"/>
          <w:sz w:val="28"/>
          <w:szCs w:val="28"/>
          <w:highlight w:val="white"/>
        </w:rPr>
      </w:r>
      <w:r>
        <w:rPr>
          <w:rFonts w:cs="Times New Roman"/>
          <w:color w:val="000000"/>
          <w:sz w:val="28"/>
          <w:szCs w:val="28"/>
          <w:highlight w:val="white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Цели регулирования: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both"/>
        <w:rPr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 xml:space="preserve">Основные цели регулирования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Соблюдение действующего законодательства. </w:t>
      </w:r>
      <w:r>
        <w:rPr>
          <w:color w:val="0d0d0d" w:themeColor="text1" w:themeTint="F2"/>
          <w:sz w:val="28"/>
          <w:szCs w:val="28"/>
        </w:rPr>
      </w:r>
      <w:r>
        <w:rPr>
          <w:color w:val="0d0d0d" w:themeColor="text1" w:themeTint="F2"/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Обоснование неэффективности действующего в рассматриваемой сфере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регулирования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отсутствует.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Возможные варианты достижения поставленной цели: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Невмешательство: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 не предполагается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Совершенствование применения существующего регулирования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вариант не предполагается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Саморегулирование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участники соответствующих отношений самостоятельно не вправе решать и регулировать данный вопрос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Прямое регулирование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утверждение регулируемого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Какие инструменты могут быть использованы для достижения поставленной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цели?: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нормативного правового 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Качественное описание и количественная оценка соответствующего воздействия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(если возможно</w:t>
      </w:r>
      <w:r>
        <w:rPr>
          <w:sz w:val="28"/>
          <w:szCs w:val="28"/>
        </w:rPr>
        <w:t xml:space="preserve">):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Публичные консультации: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both"/>
        <w:rPr>
          <w:color w:val="ff0000"/>
          <w:highlight w:val="white"/>
        </w:rPr>
      </w:pPr>
      <w:r>
        <w:rPr>
          <w:b/>
          <w:color w:val="0d0d0d" w:themeColor="text1" w:themeTint="F2"/>
          <w:sz w:val="28"/>
          <w:szCs w:val="28"/>
        </w:rPr>
        <w:t xml:space="preserve">Стороны, с которыми были проведены консультации</w:t>
      </w:r>
      <w:r>
        <w:rPr>
          <w:color w:val="0d0d0d" w:themeColor="text1" w:themeTint="F2"/>
          <w:sz w:val="28"/>
          <w:szCs w:val="28"/>
        </w:rPr>
        <w:t xml:space="preserve">:</w:t>
      </w:r>
      <w:r>
        <w:rPr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color w:val="0d0d0d" w:themeColor="text1" w:themeTint="F2"/>
          <w:sz w:val="28"/>
          <w:szCs w:val="28"/>
          <w:highlight w:val="white"/>
        </w:rPr>
        <w:t xml:space="preserve">общественный помощник Уполномоченного по защите прав предпринимателей по Нижегородской области в Богородском районе,</w:t>
      </w:r>
      <w:r>
        <w:rPr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color w:val="0d0d0d" w:themeColor="text1" w:themeTint="F2"/>
          <w:sz w:val="28"/>
          <w:szCs w:val="28"/>
          <w:highlight w:val="white"/>
        </w:rPr>
        <w:t xml:space="preserve">с</w:t>
      </w:r>
      <w:r>
        <w:rPr>
          <w:color w:val="0d0d0d" w:themeColor="text1" w:themeTint="F2"/>
          <w:sz w:val="28"/>
          <w:szCs w:val="28"/>
          <w:highlight w:val="white"/>
        </w:rPr>
        <w:t xml:space="preserve">убъекты малого и среднего  предпринимательства</w:t>
      </w:r>
      <w:r>
        <w:rPr>
          <w:color w:val="0d0d0d" w:themeColor="text1" w:themeTint="F2"/>
          <w:sz w:val="28"/>
          <w:szCs w:val="28"/>
          <w:highlight w:val="white"/>
        </w:rPr>
        <w:t xml:space="preserve">.</w:t>
      </w:r>
      <w:r>
        <w:rPr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widowControl w:val="false"/>
        <w:pBdr/>
        <w:spacing/>
        <w:ind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Основные результаты консультаций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ходе проведения публичных консультаций поступили замечания и(или) </w:t>
      </w:r>
      <w:r>
        <w:rPr>
          <w:sz w:val="28"/>
          <w:szCs w:val="28"/>
          <w:highlight w:val="white"/>
        </w:rPr>
        <w:t xml:space="preserve">предложения, которые могут быть учтены при принятии НПА, так как не противоречат </w:t>
      </w:r>
      <w:r>
        <w:rPr>
          <w:sz w:val="28"/>
          <w:szCs w:val="28"/>
          <w:highlight w:val="white"/>
        </w:rPr>
        <w:t xml:space="preserve">постановлению правительства Российской Федерации от </w:t>
      </w:r>
      <w:r>
        <w:rPr>
          <w:sz w:val="28"/>
          <w:szCs w:val="28"/>
          <w:highlight w:val="white"/>
        </w:rPr>
        <w:t xml:space="preserve">25.10.2023 № 1782 «Об утверждении общих тр</w:t>
      </w:r>
      <w:r>
        <w:rPr>
          <w:sz w:val="28"/>
          <w:szCs w:val="28"/>
          <w:highlight w:val="white"/>
        </w:rPr>
        <w:t xml:space="preserve">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</w:t>
      </w:r>
      <w:r>
        <w:rPr>
          <w:sz w:val="28"/>
          <w:szCs w:val="28"/>
          <w:highlight w:val="white"/>
        </w:rPr>
        <w:t xml:space="preserve">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  <w:highlight w:val="white"/>
        </w:rPr>
        <w:t xml:space="preserve">» и Федеральному закону от 24.07.2007 №209-ФЗ от «О развитии малого и среднего предпринимательства в Российской Федерации».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Рекомендуемый вариант регулирующего решения: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выбранного варианта (принятие  новых  муниципальных нормативных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правовых актов, признание утратившими силу </w:t>
      </w:r>
      <w:r>
        <w:rPr>
          <w:b/>
          <w:sz w:val="28"/>
          <w:szCs w:val="28"/>
        </w:rPr>
        <w:t xml:space="preserve">муниципальных  нормативных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правовых актов, внесение изменений в муниципальные нормативные правовые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акты, сохранение действующего режима регулирования):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Регулирующим решением является </w:t>
      </w:r>
      <w:r>
        <w:rPr>
          <w:sz w:val="28"/>
          <w:szCs w:val="28"/>
        </w:rPr>
        <w:t xml:space="preserve">принятие нормативного правового 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Ожидаемые выгоды и издержки от реализации выбранного варианта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</w:t>
      </w:r>
      <w:r>
        <w:rPr>
          <w:sz w:val="28"/>
          <w:szCs w:val="28"/>
          <w:highlight w:val="white"/>
        </w:rPr>
        <w:t xml:space="preserve">Решением Совета депутатов Богородского муниципального округа Нижегородской области о бюджете Богородского муниципального округа Нижегородской области на соответствующий финансовый год и пл</w:t>
      </w:r>
      <w:r>
        <w:rPr>
          <w:sz w:val="28"/>
          <w:szCs w:val="28"/>
          <w:highlight w:val="white"/>
        </w:rPr>
        <w:t xml:space="preserve">ановый период, и лимитов бюджетных обязательств, утвержденных в установленном порядке на предоставление субсидий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Необходимые меры, позволяющие минимизировать негативные последствия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применения соответствующего варианта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Возможные негативные последствия от введения нового регулирования не просматриваются.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Период воздействия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долгосрочный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Информация об исполнителях: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Дорожинец Евгения Александр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вна</w:t>
      </w:r>
      <w:r>
        <w:rPr>
          <w:sz w:val="28"/>
          <w:szCs w:val="28"/>
        </w:rPr>
        <w:t xml:space="preserve">, консультант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Богородского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(</w:t>
      </w:r>
      <w:r>
        <w:rPr>
          <w:sz w:val="28"/>
          <w:szCs w:val="28"/>
        </w:rPr>
        <w:t xml:space="preserve">883170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2-39-92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predprinimatel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b</w:t>
      </w:r>
      <w:r>
        <w:rPr>
          <w:sz w:val="28"/>
          <w:szCs w:val="28"/>
          <w:lang w:val="en-US"/>
        </w:rPr>
        <w:t xml:space="preserve">gr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Е.В.Маркина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h="16838" w:orient="portrait" w:w="11906"/>
      <w:pgMar w:top="1134" w:right="850" w:bottom="1079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framePr w:hAnchor="margin" w:vAnchor="text" w:wrap="around" w:xAlign="center" w:y="1"/>
      <w:pBdr/>
      <w:spacing/>
      <w:ind/>
      <w:rPr>
        <w:rStyle w:val="923"/>
        <w:sz w:val="28"/>
        <w:szCs w:val="28"/>
      </w:rPr>
    </w:pPr>
    <w:r>
      <w:rPr>
        <w:rStyle w:val="923"/>
        <w:sz w:val="28"/>
        <w:szCs w:val="28"/>
      </w:rPr>
      <w:fldChar w:fldCharType="begin"/>
    </w:r>
    <w:r>
      <w:rPr>
        <w:rStyle w:val="923"/>
        <w:sz w:val="28"/>
        <w:szCs w:val="28"/>
      </w:rPr>
      <w:instrText xml:space="preserve">PAGE  </w:instrText>
    </w:r>
    <w:r>
      <w:rPr>
        <w:rStyle w:val="923"/>
        <w:sz w:val="28"/>
        <w:szCs w:val="28"/>
      </w:rPr>
      <w:fldChar w:fldCharType="separate"/>
    </w:r>
    <w:r>
      <w:rPr>
        <w:rStyle w:val="923"/>
        <w:sz w:val="28"/>
        <w:szCs w:val="28"/>
      </w:rPr>
      <w:t xml:space="preserve">3</w:t>
    </w:r>
    <w:r>
      <w:rPr>
        <w:rStyle w:val="923"/>
        <w:sz w:val="28"/>
        <w:szCs w:val="28"/>
      </w:rPr>
      <w:fldChar w:fldCharType="end"/>
    </w:r>
    <w:r>
      <w:rPr>
        <w:rStyle w:val="923"/>
        <w:sz w:val="28"/>
        <w:szCs w:val="28"/>
      </w:rPr>
    </w:r>
    <w:r>
      <w:rPr>
        <w:rStyle w:val="923"/>
        <w:sz w:val="28"/>
        <w:szCs w:val="28"/>
      </w:rPr>
    </w:r>
  </w:p>
  <w:p>
    <w:pPr>
      <w:pStyle w:val="92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framePr w:hAnchor="margin" w:vAnchor="text" w:wrap="around" w:xAlign="center" w:y="1"/>
      <w:pBdr/>
      <w:spacing/>
      <w:ind/>
      <w:rPr>
        <w:rStyle w:val="923"/>
      </w:rPr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19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19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Heading 1"/>
    <w:basedOn w:val="918"/>
    <w:next w:val="918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basedOn w:val="919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918"/>
    <w:next w:val="918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basedOn w:val="919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7">
    <w:name w:val="Heading 3"/>
    <w:basedOn w:val="918"/>
    <w:next w:val="918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19"/>
    <w:link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918"/>
    <w:next w:val="918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9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8"/>
    <w:next w:val="918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19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8"/>
    <w:next w:val="918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9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8"/>
    <w:next w:val="918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9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8"/>
    <w:next w:val="918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8"/>
    <w:next w:val="918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9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18"/>
    <w:uiPriority w:val="34"/>
    <w:qFormat/>
    <w:pPr>
      <w:pBdr/>
      <w:spacing/>
      <w:ind w:left="720"/>
      <w:contextualSpacing w:val="true"/>
    </w:pPr>
  </w:style>
  <w:style w:type="paragraph" w:styleId="762">
    <w:name w:val="No Spacing"/>
    <w:uiPriority w:val="1"/>
    <w:qFormat/>
    <w:pPr>
      <w:pBdr/>
      <w:spacing w:after="0" w:before="0" w:line="240" w:lineRule="auto"/>
      <w:ind/>
    </w:pPr>
  </w:style>
  <w:style w:type="paragraph" w:styleId="763">
    <w:name w:val="Title"/>
    <w:basedOn w:val="918"/>
    <w:next w:val="918"/>
    <w:link w:val="7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4">
    <w:name w:val="Title Char"/>
    <w:basedOn w:val="919"/>
    <w:link w:val="763"/>
    <w:uiPriority w:val="10"/>
    <w:pPr>
      <w:pBdr/>
      <w:spacing/>
      <w:ind/>
    </w:pPr>
    <w:rPr>
      <w:sz w:val="48"/>
      <w:szCs w:val="48"/>
    </w:rPr>
  </w:style>
  <w:style w:type="paragraph" w:styleId="765">
    <w:name w:val="Subtitle"/>
    <w:basedOn w:val="918"/>
    <w:next w:val="918"/>
    <w:link w:val="7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6">
    <w:name w:val="Subtitle Char"/>
    <w:basedOn w:val="919"/>
    <w:link w:val="765"/>
    <w:uiPriority w:val="11"/>
    <w:pPr>
      <w:pBdr/>
      <w:spacing/>
      <w:ind/>
    </w:pPr>
    <w:rPr>
      <w:sz w:val="24"/>
      <w:szCs w:val="24"/>
    </w:rPr>
  </w:style>
  <w:style w:type="paragraph" w:styleId="767">
    <w:name w:val="Quote"/>
    <w:basedOn w:val="918"/>
    <w:next w:val="918"/>
    <w:link w:val="768"/>
    <w:uiPriority w:val="29"/>
    <w:qFormat/>
    <w:pPr>
      <w:pBdr/>
      <w:spacing/>
      <w:ind w:right="720" w:left="720"/>
    </w:pPr>
    <w:rPr>
      <w:i/>
    </w:rPr>
  </w:style>
  <w:style w:type="character" w:styleId="768">
    <w:name w:val="Quote Char"/>
    <w:link w:val="767"/>
    <w:uiPriority w:val="29"/>
    <w:pPr>
      <w:pBdr/>
      <w:spacing/>
      <w:ind/>
    </w:pPr>
    <w:rPr>
      <w:i/>
    </w:rPr>
  </w:style>
  <w:style w:type="paragraph" w:styleId="769">
    <w:name w:val="Intense Quote"/>
    <w:basedOn w:val="918"/>
    <w:next w:val="918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0">
    <w:name w:val="Intense Quote Char"/>
    <w:link w:val="769"/>
    <w:uiPriority w:val="30"/>
    <w:pPr>
      <w:pBdr/>
      <w:spacing/>
      <w:ind/>
    </w:pPr>
    <w:rPr>
      <w:i/>
    </w:rPr>
  </w:style>
  <w:style w:type="character" w:styleId="771">
    <w:name w:val="Header Char"/>
    <w:basedOn w:val="919"/>
    <w:link w:val="922"/>
    <w:uiPriority w:val="99"/>
    <w:pPr>
      <w:pBdr/>
      <w:spacing/>
      <w:ind/>
    </w:pPr>
  </w:style>
  <w:style w:type="character" w:styleId="772">
    <w:name w:val="Footer Char"/>
    <w:basedOn w:val="919"/>
    <w:link w:val="924"/>
    <w:uiPriority w:val="99"/>
    <w:pPr>
      <w:pBdr/>
      <w:spacing/>
      <w:ind/>
    </w:pPr>
  </w:style>
  <w:style w:type="paragraph" w:styleId="773">
    <w:name w:val="Caption"/>
    <w:basedOn w:val="918"/>
    <w:next w:val="9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24"/>
    <w:uiPriority w:val="99"/>
    <w:pPr>
      <w:pBdr/>
      <w:spacing/>
      <w:ind/>
    </w:pPr>
  </w:style>
  <w:style w:type="table" w:styleId="775">
    <w:name w:val="Table Grid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footnote text"/>
    <w:basedOn w:val="918"/>
    <w:link w:val="90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2">
    <w:name w:val="Footnote Text Char"/>
    <w:link w:val="901"/>
    <w:uiPriority w:val="99"/>
    <w:pPr>
      <w:pBdr/>
      <w:spacing/>
      <w:ind/>
    </w:pPr>
    <w:rPr>
      <w:sz w:val="18"/>
    </w:rPr>
  </w:style>
  <w:style w:type="character" w:styleId="903">
    <w:name w:val="footnote reference"/>
    <w:basedOn w:val="919"/>
    <w:uiPriority w:val="99"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5">
    <w:name w:val="Endnote Text Char"/>
    <w:link w:val="904"/>
    <w:uiPriority w:val="99"/>
    <w:pPr>
      <w:pBdr/>
      <w:spacing/>
      <w:ind/>
    </w:pPr>
    <w:rPr>
      <w:sz w:val="20"/>
    </w:rPr>
  </w:style>
  <w:style w:type="character" w:styleId="906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pBdr/>
      <w:spacing w:after="57"/>
      <w:ind w:right="0" w:firstLine="0" w:left="0"/>
    </w:pPr>
  </w:style>
  <w:style w:type="paragraph" w:styleId="908">
    <w:name w:val="toc 2"/>
    <w:basedOn w:val="918"/>
    <w:next w:val="918"/>
    <w:uiPriority w:val="39"/>
    <w:unhideWhenUsed/>
    <w:pPr>
      <w:pBdr/>
      <w:spacing w:after="57"/>
      <w:ind w:right="0" w:firstLine="0" w:left="283"/>
    </w:pPr>
  </w:style>
  <w:style w:type="paragraph" w:styleId="909">
    <w:name w:val="toc 3"/>
    <w:basedOn w:val="918"/>
    <w:next w:val="918"/>
    <w:uiPriority w:val="39"/>
    <w:unhideWhenUsed/>
    <w:pPr>
      <w:pBdr/>
      <w:spacing w:after="57"/>
      <w:ind w:right="0" w:firstLine="0" w:left="567"/>
    </w:pPr>
  </w:style>
  <w:style w:type="paragraph" w:styleId="910">
    <w:name w:val="toc 4"/>
    <w:basedOn w:val="918"/>
    <w:next w:val="918"/>
    <w:uiPriority w:val="39"/>
    <w:unhideWhenUsed/>
    <w:pPr>
      <w:pBdr/>
      <w:spacing w:after="57"/>
      <w:ind w:right="0" w:firstLine="0" w:left="850"/>
    </w:pPr>
  </w:style>
  <w:style w:type="paragraph" w:styleId="911">
    <w:name w:val="toc 5"/>
    <w:basedOn w:val="918"/>
    <w:next w:val="918"/>
    <w:uiPriority w:val="39"/>
    <w:unhideWhenUsed/>
    <w:pPr>
      <w:pBdr/>
      <w:spacing w:after="57"/>
      <w:ind w:right="0" w:firstLine="0" w:left="1134"/>
    </w:pPr>
  </w:style>
  <w:style w:type="paragraph" w:styleId="912">
    <w:name w:val="toc 6"/>
    <w:basedOn w:val="918"/>
    <w:next w:val="918"/>
    <w:uiPriority w:val="39"/>
    <w:unhideWhenUsed/>
    <w:pPr>
      <w:pBdr/>
      <w:spacing w:after="57"/>
      <w:ind w:right="0" w:firstLine="0" w:left="1417"/>
    </w:pPr>
  </w:style>
  <w:style w:type="paragraph" w:styleId="913">
    <w:name w:val="toc 7"/>
    <w:basedOn w:val="918"/>
    <w:next w:val="918"/>
    <w:uiPriority w:val="39"/>
    <w:unhideWhenUsed/>
    <w:pPr>
      <w:pBdr/>
      <w:spacing w:after="57"/>
      <w:ind w:right="0" w:firstLine="0" w:left="1701"/>
    </w:pPr>
  </w:style>
  <w:style w:type="paragraph" w:styleId="914">
    <w:name w:val="toc 8"/>
    <w:basedOn w:val="918"/>
    <w:next w:val="918"/>
    <w:uiPriority w:val="39"/>
    <w:unhideWhenUsed/>
    <w:pPr>
      <w:pBdr/>
      <w:spacing w:after="57"/>
      <w:ind w:right="0" w:firstLine="0" w:left="1984"/>
    </w:pPr>
  </w:style>
  <w:style w:type="paragraph" w:styleId="915">
    <w:name w:val="toc 9"/>
    <w:basedOn w:val="918"/>
    <w:next w:val="918"/>
    <w:uiPriority w:val="39"/>
    <w:unhideWhenUsed/>
    <w:pPr>
      <w:pBdr/>
      <w:spacing w:after="57"/>
      <w:ind w:right="0" w:firstLine="0" w:left="2268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  <w:rPr>
      <w:sz w:val="24"/>
      <w:szCs w:val="24"/>
    </w:r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Header"/>
    <w:basedOn w:val="91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page number"/>
    <w:basedOn w:val="919"/>
    <w:pPr>
      <w:pBdr/>
      <w:spacing/>
      <w:ind/>
    </w:pPr>
  </w:style>
  <w:style w:type="paragraph" w:styleId="924">
    <w:name w:val="Footer"/>
    <w:basedOn w:val="918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25">
    <w:name w:val="Balloon Text"/>
    <w:basedOn w:val="918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character" w:styleId="927">
    <w:name w:val="Hyperlink"/>
    <w:pPr>
      <w:pBdr/>
      <w:spacing/>
      <w:ind/>
    </w:pPr>
    <w:rPr>
      <w:color w:val="0000ff"/>
      <w:u w:val="single"/>
    </w:rPr>
  </w:style>
  <w:style w:type="paragraph" w:styleId="928" w:customStyle="1">
    <w:name w:val="Содержимое таблицы"/>
    <w:basedOn w:val="918"/>
    <w:qFormat/>
    <w:pPr>
      <w:suppressLineNumbers w:val="true"/>
      <w:pBdr/>
      <w:spacing/>
      <w:ind/>
    </w:pPr>
    <w:rPr>
      <w:color w:val="00000a"/>
    </w:rPr>
  </w:style>
  <w:style w:type="character" w:styleId="929" w:customStyle="1">
    <w:name w:val="ListLabel 2"/>
    <w:qFormat/>
    <w:pPr>
      <w:pBdr/>
      <w:spacing/>
      <w:ind/>
    </w:pPr>
    <w:rPr>
      <w:rFonts w:ascii="Times New Roman" w:hAnsi="Times New Roman" w:cs="Times New Roman"/>
      <w:color w:val="0000ff"/>
      <w:sz w:val="24"/>
      <w:szCs w:val="24"/>
    </w:rPr>
  </w:style>
  <w:style w:type="character" w:styleId="930" w:customStyle="1">
    <w:name w:val="s2"/>
    <w:basedOn w:val="887"/>
    <w:pPr>
      <w:pBdr/>
      <w:spacing/>
      <w:ind/>
    </w:pPr>
  </w:style>
  <w:style w:type="paragraph" w:styleId="931" w:customStyle="1">
    <w:name w:val="ConsPlusTitle"/>
    <w:link w:val="886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2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potehin</dc:creator>
  <cp:revision>24</cp:revision>
  <dcterms:created xsi:type="dcterms:W3CDTF">2021-01-14T14:23:00Z</dcterms:created>
  <dcterms:modified xsi:type="dcterms:W3CDTF">2025-12-10T13:53:33Z</dcterms:modified>
</cp:coreProperties>
</file>